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3F7BEAA" w:rsidR="00B97F78" w:rsidRPr="00E9179D" w:rsidRDefault="00A71627" w:rsidP="00D36BC5">
            <w:pPr>
              <w:autoSpaceDE w:val="0"/>
              <w:autoSpaceDN w:val="0"/>
              <w:spacing w:after="0" w:line="240" w:lineRule="auto"/>
              <w:jc w:val="center"/>
              <w:rPr>
                <w:rFonts w:ascii="Times New Roman" w:hAnsi="Times New Roman"/>
                <w:b/>
                <w:color w:val="000000" w:themeColor="text1"/>
                <w:sz w:val="18"/>
                <w:szCs w:val="18"/>
                <w:highlight w:val="yellow"/>
                <w:lang w:val="en-US"/>
              </w:rPr>
            </w:pPr>
            <w:r w:rsidRPr="00A71627">
              <w:rPr>
                <w:rFonts w:ascii="Times New Roman" w:hAnsi="Times New Roman"/>
                <w:b/>
                <w:color w:val="000000" w:themeColor="text1"/>
                <w:sz w:val="18"/>
                <w:szCs w:val="18"/>
                <w:lang w:val="en-US"/>
              </w:rPr>
              <w:t>03</w:t>
            </w:r>
          </w:p>
        </w:tc>
        <w:tc>
          <w:tcPr>
            <w:tcW w:w="142" w:type="dxa"/>
            <w:vAlign w:val="bottom"/>
          </w:tcPr>
          <w:p w14:paraId="086165B7" w14:textId="77777777" w:rsidR="00B97F78" w:rsidRPr="00E9179D" w:rsidRDefault="00B97F78" w:rsidP="00C13697">
            <w:pPr>
              <w:autoSpaceDE w:val="0"/>
              <w:autoSpaceDN w:val="0"/>
              <w:spacing w:after="0" w:line="240" w:lineRule="auto"/>
              <w:rPr>
                <w:rFonts w:ascii="Times New Roman" w:hAnsi="Times New Roman"/>
                <w:b/>
                <w:color w:val="000000" w:themeColor="text1"/>
                <w:sz w:val="18"/>
                <w:szCs w:val="18"/>
                <w:highlight w:val="yellow"/>
              </w:rPr>
            </w:pPr>
          </w:p>
        </w:tc>
        <w:tc>
          <w:tcPr>
            <w:tcW w:w="1559" w:type="dxa"/>
            <w:tcBorders>
              <w:bottom w:val="single" w:sz="4" w:space="0" w:color="auto"/>
            </w:tcBorders>
            <w:vAlign w:val="bottom"/>
          </w:tcPr>
          <w:p w14:paraId="1B87CDD0" w14:textId="5ACB791A" w:rsidR="00B97F78" w:rsidRPr="00E9179D" w:rsidRDefault="00A71627">
            <w:pPr>
              <w:autoSpaceDE w:val="0"/>
              <w:autoSpaceDN w:val="0"/>
              <w:spacing w:after="0" w:line="240" w:lineRule="auto"/>
              <w:jc w:val="center"/>
              <w:rPr>
                <w:rFonts w:ascii="Times New Roman" w:hAnsi="Times New Roman"/>
                <w:b/>
                <w:color w:val="000000" w:themeColor="text1"/>
                <w:sz w:val="18"/>
                <w:szCs w:val="18"/>
                <w:highlight w:val="yellow"/>
                <w:lang w:val="en-US"/>
              </w:rPr>
            </w:pPr>
            <w:r w:rsidRPr="00A71627">
              <w:rPr>
                <w:rFonts w:ascii="Times New Roman" w:hAnsi="Times New Roman"/>
                <w:b/>
                <w:color w:val="000000" w:themeColor="text1"/>
                <w:sz w:val="18"/>
                <w:szCs w:val="18"/>
                <w:lang w:val="en-US"/>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4AF1B568" w:rsidR="00C24C2F" w:rsidRPr="00BD7BC5" w:rsidRDefault="00A71627">
            <w:pPr>
              <w:spacing w:after="60"/>
              <w:jc w:val="center"/>
              <w:rPr>
                <w:rFonts w:ascii="Times New Roman" w:hAnsi="Times New Roman"/>
                <w:lang w:val="en-US"/>
              </w:rPr>
            </w:pPr>
            <w:r w:rsidRPr="00A71627">
              <w:rPr>
                <w:rFonts w:ascii="Times New Roman" w:hAnsi="Times New Roman"/>
                <w:sz w:val="28"/>
                <w:lang w:val="en-US"/>
              </w:rPr>
              <w:t>4-01-01000-B-001P</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B00A106"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24097F" w:rsidRPr="0024097F">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5A105B">
        <w:rPr>
          <w:rFonts w:ascii="Times New Roman" w:hAnsi="Times New Roman"/>
          <w:b/>
          <w:bCs/>
          <w:i/>
          <w:iCs/>
          <w:sz w:val="24"/>
          <w:szCs w:val="24"/>
        </w:rPr>
        <w:t>150 000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Сто пятьдесят тысяч</w:t>
      </w:r>
      <w:r w:rsidRPr="0085492C">
        <w:rPr>
          <w:rFonts w:ascii="Times New Roman" w:hAnsi="Times New Roman"/>
          <w:b/>
          <w:bCs/>
          <w:i/>
          <w:iCs/>
          <w:sz w:val="24"/>
          <w:szCs w:val="24"/>
        </w:rPr>
        <w:t xml:space="preserve">) </w:t>
      </w:r>
      <w:r w:rsidR="00E9179D">
        <w:rPr>
          <w:rFonts w:ascii="Times New Roman" w:hAnsi="Times New Roman"/>
          <w:b/>
          <w:bCs/>
          <w:i/>
          <w:iCs/>
          <w:sz w:val="24"/>
          <w:szCs w:val="24"/>
        </w:rPr>
        <w:t>долларов США</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352A912F" w:rsidR="00B97F78" w:rsidRPr="00DF6110" w:rsidRDefault="001E3ED1" w:rsidP="00B97F78">
      <w:pPr>
        <w:pBdr>
          <w:top w:val="single" w:sz="4" w:space="1" w:color="auto"/>
        </w:pBdr>
        <w:spacing w:after="0" w:line="240" w:lineRule="auto"/>
        <w:jc w:val="center"/>
        <w:rPr>
          <w:rFonts w:ascii="Times New Roman" w:hAnsi="Times New Roman"/>
          <w:b/>
          <w:bCs/>
          <w:i/>
          <w:iCs/>
          <w:sz w:val="24"/>
          <w:szCs w:val="24"/>
        </w:rPr>
      </w:pPr>
      <w:r>
        <w:rPr>
          <w:rFonts w:ascii="Times New Roman" w:hAnsi="Times New Roman"/>
          <w:b/>
          <w:bCs/>
          <w:i/>
          <w:iCs/>
          <w:sz w:val="24"/>
          <w:szCs w:val="24"/>
        </w:rPr>
        <w:t xml:space="preserve"> </w:t>
      </w: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70014F" w:rsidRPr="00F41DE6" w14:paraId="32B04EF9" w14:textId="77777777" w:rsidTr="00CD5701">
        <w:tc>
          <w:tcPr>
            <w:tcW w:w="6663" w:type="dxa"/>
            <w:gridSpan w:val="7"/>
            <w:vAlign w:val="bottom"/>
          </w:tcPr>
          <w:p w14:paraId="75E03B50" w14:textId="77777777" w:rsidR="0070014F" w:rsidRPr="00F41DE6" w:rsidRDefault="0070014F" w:rsidP="00F44FE6">
            <w:pPr>
              <w:autoSpaceDE w:val="0"/>
              <w:autoSpaceDN w:val="0"/>
              <w:spacing w:after="0" w:line="240" w:lineRule="auto"/>
              <w:ind w:left="142"/>
              <w:rPr>
                <w:rFonts w:ascii="Times New Roman" w:eastAsia="Times New Roman" w:hAnsi="Times New Roman" w:cs="Times New Roman"/>
                <w:sz w:val="24"/>
                <w:szCs w:val="20"/>
                <w:lang w:eastAsia="ru-RU"/>
              </w:rPr>
            </w:pPr>
          </w:p>
          <w:p w14:paraId="36506227" w14:textId="77777777" w:rsidR="0070014F" w:rsidRPr="00F41DE6" w:rsidRDefault="0070014F" w:rsidP="00F44FE6">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44D22FD6" w14:textId="77777777" w:rsidR="0070014F" w:rsidRDefault="0070014F" w:rsidP="00F44FE6">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4E81EB06" w14:textId="77777777" w:rsidR="0070014F" w:rsidRPr="00F41DE6" w:rsidRDefault="0070014F" w:rsidP="00F44FE6">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69222D8D" w14:textId="77777777" w:rsidR="0070014F" w:rsidRPr="00F41DE6" w:rsidRDefault="0070014F" w:rsidP="00F44FE6">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5F3A7B66" w14:textId="77777777" w:rsidR="0070014F" w:rsidRPr="00F41DE6" w:rsidRDefault="0070014F" w:rsidP="00F44FE6">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619CD796" w14:textId="77777777" w:rsidR="0070014F" w:rsidRDefault="0070014F" w:rsidP="00F44FE6">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9078609" w14:textId="77777777" w:rsidR="0070014F" w:rsidRDefault="0070014F" w:rsidP="00F44FE6">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10ADDA5E" w14:textId="77777777" w:rsidR="0070014F" w:rsidRDefault="0070014F" w:rsidP="00F44FE6">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789F0C7B" w14:textId="77777777" w:rsidR="0070014F" w:rsidRDefault="0070014F" w:rsidP="00F44FE6">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08AEBDB4" w14:textId="77777777" w:rsidR="0070014F" w:rsidRPr="00F41DE6" w:rsidRDefault="0070014F" w:rsidP="00F44FE6">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516F7267"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24097F" w:rsidRPr="0024097F">
        <w:rPr>
          <w:rFonts w:ascii="Times New Roman" w:hAnsi="Times New Roman"/>
          <w:b/>
          <w:bCs/>
          <w:i/>
          <w:iCs/>
        </w:rPr>
        <w:t>1</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6656670D"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150 000</w:t>
      </w:r>
      <w:r w:rsidRPr="001B0BD8">
        <w:rPr>
          <w:rFonts w:ascii="Times New Roman" w:hAnsi="Times New Roman"/>
          <w:b/>
          <w:bCs/>
          <w:i/>
          <w:iCs/>
        </w:rPr>
        <w:t xml:space="preserve"> (</w:t>
      </w:r>
      <w:r w:rsidR="00E9179D">
        <w:rPr>
          <w:rFonts w:ascii="Times New Roman" w:hAnsi="Times New Roman"/>
          <w:b/>
          <w:bCs/>
          <w:i/>
          <w:iCs/>
        </w:rPr>
        <w:t>Сто пятьдесят тысяч</w:t>
      </w:r>
      <w:r w:rsidRPr="001B0BD8">
        <w:rPr>
          <w:rFonts w:ascii="Times New Roman" w:hAnsi="Times New Roman"/>
          <w:b/>
          <w:bCs/>
          <w:i/>
          <w:iCs/>
        </w:rPr>
        <w:t xml:space="preserve">) </w:t>
      </w:r>
      <w:r w:rsidR="00E9179D">
        <w:rPr>
          <w:rFonts w:ascii="Times New Roman" w:hAnsi="Times New Roman"/>
          <w:b/>
          <w:bCs/>
          <w:i/>
          <w:iCs/>
        </w:rPr>
        <w:t>долларов США</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77777777"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доллара США,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5A105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1BBC3EC2"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1FC0549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D413FB">
        <w:rPr>
          <w:rFonts w:ascii="Times New Roman" w:hAnsi="Times New Roman"/>
          <w:b/>
          <w:bCs/>
          <w:i/>
          <w:iCs/>
        </w:rPr>
        <w:t>долларах США</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30793271"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D413FB">
        <w:rPr>
          <w:rFonts w:ascii="Times New Roman" w:hAnsi="Times New Roman"/>
          <w:b/>
          <w:bCs/>
          <w:i/>
          <w:iCs/>
        </w:rPr>
        <w:t>долларах США</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3DA23C56"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рублях по курсу доллара США,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5A105B" w:rsidRDefault="00D413FB" w:rsidP="005A105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52891C67"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добавочного</w:t>
      </w:r>
      <w:r w:rsidRPr="00376521">
        <w:rPr>
          <w:rFonts w:ascii="Times New Roman" w:hAnsi="Times New Roman"/>
          <w:b/>
          <w:bCs/>
          <w:i/>
          <w:iCs/>
        </w:rPr>
        <w:t xml:space="preserve"> капитала кредитной организации.</w:t>
      </w:r>
    </w:p>
    <w:p w14:paraId="1565918B" w14:textId="6D06A741" w:rsidR="00E27C58"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 со второго по одиннадцатый (включительно) равен размеру процентной ставки по первому купонному периоду.</w:t>
      </w:r>
    </w:p>
    <w:p w14:paraId="3CB88D88" w14:textId="711374E1"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размер процентной ставки </w:t>
      </w:r>
      <w:r w:rsidR="00950847">
        <w:rPr>
          <w:rFonts w:ascii="Times New Roman" w:hAnsi="Times New Roman"/>
          <w:b/>
          <w:bCs/>
          <w:i/>
          <w:iCs/>
        </w:rPr>
        <w:t>на каждые последующие 10 (Десять) купонных периодов периода обращения Облигаций (</w:t>
      </w:r>
      <w:r w:rsidR="00950847" w:rsidRPr="00A930D7">
        <w:rPr>
          <w:rFonts w:ascii="Times New Roman" w:hAnsi="Times New Roman"/>
          <w:b/>
          <w:i/>
          <w:iCs/>
        </w:rPr>
        <w:t>далее – «</w:t>
      </w:r>
      <w:r w:rsidR="00F44FE6">
        <w:rPr>
          <w:rFonts w:ascii="Times New Roman" w:hAnsi="Times New Roman"/>
          <w:b/>
          <w:i/>
          <w:iCs/>
        </w:rPr>
        <w:t>О</w:t>
      </w:r>
      <w:r w:rsidR="00950847" w:rsidRPr="00A930D7">
        <w:rPr>
          <w:rFonts w:ascii="Times New Roman" w:hAnsi="Times New Roman"/>
          <w:b/>
          <w:i/>
          <w:iCs/>
        </w:rPr>
        <w:t xml:space="preserve">чередная часть периода обращения Облигаций») </w:t>
      </w:r>
      <w:r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lastRenderedPageBreak/>
        <w:t>j</w:t>
      </w:r>
      <w:r>
        <w:rPr>
          <w:rFonts w:ascii="Times New Roman" w:hAnsi="Times New Roman"/>
          <w:b/>
          <w:bCs/>
          <w:i/>
          <w:iCs/>
        </w:rPr>
        <w:t xml:space="preserve"> – порядковый номер очередного купонного периода;</w:t>
      </w:r>
    </w:p>
    <w:p w14:paraId="36AEF700" w14:textId="1277D74C" w:rsidR="00B51C9C" w:rsidRPr="00881BAD" w:rsidRDefault="00490232" w:rsidP="00B51C9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B51C9C" w:rsidRPr="00881BAD">
        <w:rPr>
          <w:rFonts w:ascii="Times New Roman" w:hAnsi="Times New Roman"/>
          <w:b/>
          <w:bCs/>
          <w:i/>
          <w:iCs/>
        </w:rPr>
        <w:t>уровень доходности казначейских облигаций США на срок до п</w:t>
      </w:r>
      <w:r w:rsidR="00B51C9C">
        <w:rPr>
          <w:rFonts w:ascii="Times New Roman" w:hAnsi="Times New Roman"/>
          <w:b/>
          <w:bCs/>
          <w:i/>
          <w:iCs/>
        </w:rPr>
        <w:t>огашения, равный 5 годам</w:t>
      </w:r>
      <w:r w:rsidR="00B51C9C" w:rsidRPr="00145B5D">
        <w:rPr>
          <w:rFonts w:ascii="Times New Roman" w:hAnsi="Times New Roman"/>
          <w:b/>
          <w:bCs/>
          <w:i/>
          <w:iCs/>
        </w:rPr>
        <w:t xml:space="preserve">, на </w:t>
      </w:r>
      <w:r w:rsidR="00B51C9C" w:rsidRPr="00881BAD">
        <w:rPr>
          <w:rFonts w:ascii="Times New Roman" w:hAnsi="Times New Roman"/>
          <w:b/>
          <w:bCs/>
          <w:i/>
          <w:iCs/>
        </w:rPr>
        <w:t xml:space="preserve">дату, наступающую за </w:t>
      </w:r>
      <w:r w:rsidR="00B51C9C" w:rsidRPr="00145B5D">
        <w:rPr>
          <w:rFonts w:ascii="Times New Roman" w:hAnsi="Times New Roman"/>
          <w:b/>
          <w:bCs/>
          <w:i/>
          <w:iCs/>
        </w:rPr>
        <w:t>4</w:t>
      </w:r>
      <w:r w:rsidR="00B51C9C" w:rsidRPr="007E2AB2">
        <w:rPr>
          <w:rFonts w:ascii="Times New Roman" w:hAnsi="Times New Roman"/>
          <w:b/>
          <w:bCs/>
          <w:i/>
          <w:iCs/>
        </w:rPr>
        <w:t xml:space="preserve"> (</w:t>
      </w:r>
      <w:r w:rsidR="00B51C9C" w:rsidRPr="00145B5D">
        <w:rPr>
          <w:rFonts w:ascii="Times New Roman" w:hAnsi="Times New Roman"/>
          <w:b/>
          <w:bCs/>
          <w:i/>
          <w:iCs/>
        </w:rPr>
        <w:t>Четыре</w:t>
      </w:r>
      <w:r w:rsidR="00B51C9C" w:rsidRPr="007E2AB2">
        <w:rPr>
          <w:rFonts w:ascii="Times New Roman" w:hAnsi="Times New Roman"/>
          <w:b/>
          <w:bCs/>
          <w:i/>
          <w:iCs/>
        </w:rPr>
        <w:t>)</w:t>
      </w:r>
      <w:r w:rsidR="00B51C9C" w:rsidRPr="00881BAD">
        <w:rPr>
          <w:rFonts w:ascii="Times New Roman" w:hAnsi="Times New Roman"/>
          <w:b/>
          <w:bCs/>
          <w:i/>
          <w:iCs/>
        </w:rPr>
        <w:t xml:space="preserve"> рабочих дн</w:t>
      </w:r>
      <w:r w:rsidR="00B51C9C" w:rsidRPr="00145B5D">
        <w:rPr>
          <w:rFonts w:ascii="Times New Roman" w:hAnsi="Times New Roman"/>
          <w:b/>
          <w:bCs/>
          <w:i/>
          <w:iCs/>
        </w:rPr>
        <w:t>я</w:t>
      </w:r>
      <w:r w:rsidR="00B51C9C" w:rsidRPr="00881BAD">
        <w:rPr>
          <w:rFonts w:ascii="Times New Roman" w:hAnsi="Times New Roman"/>
          <w:b/>
          <w:bCs/>
          <w:i/>
          <w:iCs/>
        </w:rPr>
        <w:t xml:space="preserve"> до даты начала </w:t>
      </w:r>
      <w:r w:rsidR="00F44FE6">
        <w:rPr>
          <w:rFonts w:ascii="Times New Roman" w:hAnsi="Times New Roman"/>
          <w:b/>
          <w:bCs/>
          <w:i/>
          <w:iCs/>
        </w:rPr>
        <w:t>О</w:t>
      </w:r>
      <w:r w:rsidR="00B51C9C">
        <w:rPr>
          <w:rFonts w:ascii="Times New Roman" w:hAnsi="Times New Roman"/>
          <w:b/>
          <w:bCs/>
          <w:i/>
          <w:iCs/>
        </w:rPr>
        <w:t xml:space="preserve">чередной части периода обращения Облигаций </w:t>
      </w:r>
      <w:r w:rsidR="00B51C9C" w:rsidRPr="00376521">
        <w:rPr>
          <w:rFonts w:ascii="Times New Roman" w:hAnsi="Times New Roman"/>
          <w:b/>
          <w:bCs/>
          <w:i/>
          <w:iCs/>
        </w:rPr>
        <w:t>(далее – «Дата определения новой ставки купона»)</w:t>
      </w:r>
      <w:r w:rsidR="00B51C9C" w:rsidRPr="00881BAD">
        <w:rPr>
          <w:rFonts w:ascii="Times New Roman" w:hAnsi="Times New Roman"/>
          <w:b/>
          <w:bCs/>
          <w:i/>
          <w:iCs/>
        </w:rPr>
        <w:t>, в самой последней публикации статистической информации под названием «H.15(519)» или в любом заменяющем его издании, публикуемом Советом управляющих Федеральной резервной системы на странице в сети Интернет https://www.federalreserve.gov/releases/h15 (или иной странице в сети Интернет, используемой для раскрытия данной информации).</w:t>
      </w:r>
    </w:p>
    <w:p w14:paraId="71468028" w14:textId="77777777" w:rsidR="00B51C9C" w:rsidRPr="00145B5D" w:rsidRDefault="00B51C9C" w:rsidP="00B51C9C">
      <w:pPr>
        <w:autoSpaceDE w:val="0"/>
        <w:autoSpaceDN w:val="0"/>
        <w:adjustRightInd w:val="0"/>
        <w:spacing w:before="120" w:after="120" w:line="240" w:lineRule="auto"/>
        <w:jc w:val="both"/>
        <w:rPr>
          <w:rFonts w:ascii="Times New Roman" w:hAnsi="Times New Roman"/>
          <w:b/>
          <w:bCs/>
          <w:i/>
          <w:iCs/>
        </w:rPr>
      </w:pPr>
      <w:r w:rsidRPr="00881BAD">
        <w:rPr>
          <w:rFonts w:ascii="Times New Roman" w:hAnsi="Times New Roman"/>
          <w:b/>
          <w:bCs/>
          <w:i/>
          <w:iCs/>
        </w:rPr>
        <w:t xml:space="preserve">В случае если уровень доходности казначейских облигаций США на срок до погашения, равный 5 годам, на </w:t>
      </w:r>
      <w:r w:rsidRPr="00145B5D">
        <w:rPr>
          <w:rFonts w:ascii="Times New Roman" w:hAnsi="Times New Roman"/>
          <w:b/>
          <w:bCs/>
          <w:i/>
          <w:iCs/>
        </w:rPr>
        <w:t xml:space="preserve">Дату </w:t>
      </w:r>
      <w:r w:rsidRPr="00881BAD">
        <w:rPr>
          <w:rFonts w:ascii="Times New Roman" w:hAnsi="Times New Roman"/>
          <w:b/>
          <w:bCs/>
          <w:i/>
          <w:iCs/>
        </w:rPr>
        <w:t>определения новой ставки купона не публикуется, для определения процентной ставки на Дату определения новой ставки купона используется значение индекса USGG5YR Index (далее – «Индекс»), рассчитываемого на основании эффективной годовой доходности обращающихся выпусков казначейских облигаций США и публикуемого информационным агентством Блумберг (далее – «Провайдер информации») на странице Провайдера информации.</w:t>
      </w:r>
    </w:p>
    <w:p w14:paraId="6C537F43" w14:textId="141EB612" w:rsidR="00490232" w:rsidRPr="00376521" w:rsidRDefault="00B51C9C" w:rsidP="00B51C9C">
      <w:pPr>
        <w:autoSpaceDE w:val="0"/>
        <w:autoSpaceDN w:val="0"/>
        <w:adjustRightInd w:val="0"/>
        <w:spacing w:before="120" w:after="120" w:line="240" w:lineRule="auto"/>
        <w:jc w:val="both"/>
        <w:rPr>
          <w:rFonts w:ascii="Times New Roman" w:hAnsi="Times New Roman"/>
          <w:b/>
          <w:bCs/>
          <w:i/>
          <w:iCs/>
        </w:rPr>
      </w:pPr>
      <w:r w:rsidRPr="00881BAD">
        <w:rPr>
          <w:rFonts w:ascii="Times New Roman" w:hAnsi="Times New Roman"/>
          <w:b/>
          <w:bCs/>
          <w:i/>
          <w:iCs/>
        </w:rPr>
        <w:t>В случае если на Дату определения новой ставки купона информация об Индексе и уровне доходности казначейских облигаций США со сроком погашения, равным 5 годам, отсутствует или не доступна, используется нижняя целевая ставка по федеральным фондам (Federal funds target rate – lower bound), определяемая на заседании Федерального комитета по операциям на открытом рынке ФРС США, действующая на Дату определения новой ставки купона.</w:t>
      </w:r>
      <w:r w:rsidRPr="00881BAD" w:rsidDel="00881BAD">
        <w:rPr>
          <w:rFonts w:ascii="Times New Roman" w:hAnsi="Times New Roman"/>
          <w:b/>
          <w:bCs/>
          <w:i/>
          <w:iCs/>
        </w:rPr>
        <w:t xml:space="preserve"> </w:t>
      </w:r>
    </w:p>
    <w:p w14:paraId="3EB8467A"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7B2527AA"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ставкой по первому купону и </w:t>
      </w:r>
      <w:r w:rsidR="00B51C9C" w:rsidRPr="00881BAD">
        <w:rPr>
          <w:rFonts w:ascii="Times New Roman" w:hAnsi="Times New Roman"/>
          <w:b/>
          <w:bCs/>
          <w:i/>
          <w:iCs/>
        </w:rPr>
        <w:t>уровнем доходности казначейских облигаций США на срок до погашения, равный 5 годам</w:t>
      </w:r>
      <w:r w:rsidR="00B51C9C">
        <w:rPr>
          <w:rFonts w:ascii="Times New Roman" w:hAnsi="Times New Roman"/>
          <w:b/>
          <w:bCs/>
          <w:i/>
          <w:iCs/>
        </w:rPr>
        <w:t xml:space="preserve">, </w:t>
      </w:r>
      <w:r w:rsidRPr="00376521">
        <w:rPr>
          <w:rFonts w:ascii="Times New Roman" w:hAnsi="Times New Roman"/>
          <w:b/>
          <w:bCs/>
          <w:i/>
          <w:iCs/>
        </w:rPr>
        <w:t>на дату установления размера ставки по первому купону</w:t>
      </w:r>
      <w:r w:rsidR="000A6DAF" w:rsidRPr="00881BAD">
        <w:rPr>
          <w:rFonts w:ascii="Times New Roman" w:hAnsi="Times New Roman"/>
          <w:b/>
          <w:bCs/>
          <w:i/>
          <w:iCs/>
        </w:rPr>
        <w:t>, в самой последней публикации статистической информации под названием «H.15(519)» или в любом заменяющем его издании, публикуемом Советом управляющих Федеральной резервной системы на странице в сети Интернет https://www.federalreserve.gov/releases/h15 (или иной странице в сети Интернет, используемой для раскрытия данной информации)</w:t>
      </w:r>
      <w:r w:rsidRPr="00376521">
        <w:rPr>
          <w:rFonts w:ascii="Times New Roman" w:hAnsi="Times New Roman"/>
          <w:b/>
          <w:bCs/>
          <w:i/>
          <w:iCs/>
        </w:rPr>
        <w:t>.</w:t>
      </w:r>
    </w:p>
    <w:p w14:paraId="252CED59" w14:textId="1A8B4652"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D54A57">
        <w:rPr>
          <w:rFonts w:ascii="Times New Roman" w:hAnsi="Times New Roman"/>
          <w:b/>
          <w:bCs/>
          <w:i/>
          <w:iCs/>
        </w:rPr>
        <w:t xml:space="preserve">на каждую </w:t>
      </w:r>
      <w:r w:rsidR="00F44FE6">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0BC6CCA1"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D54A57">
        <w:rPr>
          <w:rFonts w:ascii="Times New Roman" w:hAnsi="Times New Roman"/>
          <w:b/>
          <w:bCs/>
          <w:i/>
          <w:iCs/>
        </w:rPr>
        <w:t xml:space="preserve">на </w:t>
      </w:r>
      <w:r w:rsidR="00F44FE6">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Дату определения новой ставки купона действует процентная ставка </w:t>
      </w:r>
      <w:r w:rsidR="00D54A57">
        <w:rPr>
          <w:rFonts w:ascii="Times New Roman" w:hAnsi="Times New Roman"/>
          <w:b/>
          <w:bCs/>
          <w:i/>
          <w:iCs/>
        </w:rPr>
        <w:t xml:space="preserve">на </w:t>
      </w:r>
      <w:r w:rsidR="00F44FE6">
        <w:rPr>
          <w:rFonts w:ascii="Times New Roman" w:hAnsi="Times New Roman"/>
          <w:b/>
          <w:bCs/>
          <w:i/>
          <w:iCs/>
        </w:rPr>
        <w:t>О</w:t>
      </w:r>
      <w:r w:rsidR="00D54A57">
        <w:rPr>
          <w:rFonts w:ascii="Times New Roman" w:hAnsi="Times New Roman"/>
          <w:b/>
          <w:bCs/>
          <w:i/>
          <w:iCs/>
        </w:rPr>
        <w:t>чередную часть периода обращения Облигаций</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067478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53048A2" w14:textId="64A4FCDA"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информация о размере процентной ставки </w:t>
      </w:r>
      <w:r w:rsidR="00D54A57">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Pr="00376521">
        <w:rPr>
          <w:rFonts w:ascii="Times New Roman" w:hAnsi="Times New Roman"/>
          <w:b/>
          <w:bCs/>
          <w:i/>
          <w:iCs/>
        </w:rPr>
        <w:t xml:space="preserve"> (</w:t>
      </w:r>
      <w:r w:rsidR="00C213B4">
        <w:rPr>
          <w:rFonts w:ascii="Times New Roman" w:hAnsi="Times New Roman"/>
          <w:b/>
          <w:bCs/>
          <w:i/>
          <w:iCs/>
        </w:rPr>
        <w:t>Два</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F44FE6">
        <w:rPr>
          <w:rFonts w:ascii="Times New Roman" w:hAnsi="Times New Roman"/>
          <w:b/>
          <w:bCs/>
          <w:i/>
          <w:iCs/>
        </w:rPr>
        <w:t>О</w:t>
      </w:r>
      <w:r w:rsidR="009B6805">
        <w:rPr>
          <w:rFonts w:ascii="Times New Roman" w:hAnsi="Times New Roman"/>
          <w:b/>
          <w:bCs/>
          <w:i/>
          <w:iCs/>
        </w:rPr>
        <w:t>чередной</w:t>
      </w:r>
      <w:r w:rsidR="00D54A57">
        <w:rPr>
          <w:rFonts w:ascii="Times New Roman" w:hAnsi="Times New Roman"/>
          <w:b/>
          <w:bCs/>
          <w:i/>
          <w:iCs/>
        </w:rPr>
        <w:t xml:space="preserve"> </w:t>
      </w:r>
      <w:r w:rsidR="009B6805">
        <w:rPr>
          <w:rFonts w:ascii="Times New Roman" w:hAnsi="Times New Roman"/>
          <w:b/>
          <w:bCs/>
          <w:i/>
          <w:iCs/>
        </w:rPr>
        <w:t>части</w:t>
      </w:r>
      <w:r w:rsidR="00D54A57">
        <w:rPr>
          <w:rFonts w:ascii="Times New Roman" w:hAnsi="Times New Roman"/>
          <w:b/>
          <w:bCs/>
          <w:i/>
          <w:iCs/>
        </w:rPr>
        <w:t xml:space="preserve"> периода обращения Облигаций</w:t>
      </w:r>
      <w:r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28851229"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не позднее, чем за 1 (Один) день до даты начала </w:t>
      </w:r>
      <w:r w:rsidR="00F44FE6">
        <w:rPr>
          <w:rFonts w:ascii="Times New Roman" w:hAnsi="Times New Roman"/>
          <w:b/>
          <w:bCs/>
          <w:i/>
          <w:iCs/>
        </w:rPr>
        <w:t>О</w:t>
      </w:r>
      <w:r w:rsidR="009B6805">
        <w:rPr>
          <w:rFonts w:ascii="Times New Roman" w:hAnsi="Times New Roman"/>
          <w:b/>
          <w:bCs/>
          <w:i/>
          <w:iCs/>
        </w:rPr>
        <w:t>чередной части периода обращения Облигаций</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7777777"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доллара США,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lastRenderedPageBreak/>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5CF65DA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5BBE8963"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по курсу доллара США,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5A105B"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w:t>
      </w:r>
      <w:r w:rsidRPr="00F95F16">
        <w:rPr>
          <w:rFonts w:ascii="Times New Roman" w:hAnsi="Times New Roman"/>
          <w:b/>
          <w:i/>
          <w:iCs/>
          <w:color w:val="000000"/>
          <w:lang w:eastAsia="ru-RU"/>
        </w:rPr>
        <w:lastRenderedPageBreak/>
        <w:t xml:space="preserve">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3DF94BD1"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F44FE6">
        <w:rPr>
          <w:rFonts w:ascii="Times New Roman" w:hAnsi="Times New Roman"/>
          <w:b/>
          <w:i/>
          <w:iCs/>
          <w:lang w:eastAsia="ru-RU"/>
        </w:rPr>
        <w:t>й</w:t>
      </w:r>
      <w:r w:rsidRPr="00A70C67">
        <w:rPr>
          <w:rFonts w:ascii="Times New Roman" w:hAnsi="Times New Roman"/>
          <w:b/>
          <w:i/>
          <w:iCs/>
          <w:lang w:eastAsia="ru-RU"/>
        </w:rPr>
        <w:t xml:space="preserve"> </w:t>
      </w:r>
      <w:r w:rsidR="00F44FE6" w:rsidRPr="00F44FE6">
        <w:rPr>
          <w:rFonts w:ascii="Times New Roman" w:hAnsi="Times New Roman"/>
          <w:b/>
          <w:i/>
          <w:iCs/>
          <w:lang w:eastAsia="ru-RU"/>
        </w:rPr>
        <w:t>Очередн</w:t>
      </w:r>
      <w:r w:rsidR="00F44FE6">
        <w:rPr>
          <w:rFonts w:ascii="Times New Roman" w:hAnsi="Times New Roman"/>
          <w:b/>
          <w:i/>
          <w:iCs/>
          <w:lang w:eastAsia="ru-RU"/>
        </w:rPr>
        <w:t>ой</w:t>
      </w:r>
      <w:r w:rsidR="00F44FE6" w:rsidRPr="00F44FE6">
        <w:rPr>
          <w:rFonts w:ascii="Times New Roman" w:hAnsi="Times New Roman"/>
          <w:b/>
          <w:i/>
          <w:iCs/>
          <w:lang w:eastAsia="ru-RU"/>
        </w:rPr>
        <w:t xml:space="preserve"> част</w:t>
      </w:r>
      <w:r w:rsidR="00F44FE6">
        <w:rPr>
          <w:rFonts w:ascii="Times New Roman" w:hAnsi="Times New Roman"/>
          <w:b/>
          <w:i/>
          <w:iCs/>
          <w:lang w:eastAsia="ru-RU"/>
        </w:rPr>
        <w:t>и</w:t>
      </w:r>
      <w:r w:rsidR="00F44FE6" w:rsidRPr="00F44FE6">
        <w:rPr>
          <w:rFonts w:ascii="Times New Roman" w:hAnsi="Times New Roman"/>
          <w:b/>
          <w:i/>
          <w:iCs/>
          <w:lang w:eastAsia="ru-RU"/>
        </w:rPr>
        <w:t xml:space="preserve"> периода обращения Облигаций</w:t>
      </w:r>
      <w:r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5A105B"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w:t>
      </w:r>
      <w:r w:rsidR="00431971">
        <w:rPr>
          <w:rFonts w:ascii="Times New Roman" w:hAnsi="Times New Roman"/>
          <w:b/>
          <w:i/>
          <w:iCs/>
          <w:lang w:eastAsia="ru-RU"/>
        </w:rPr>
        <w:lastRenderedPageBreak/>
        <w:t xml:space="preserve">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невозмещении и </w:t>
      </w:r>
      <w:r w:rsidRPr="00DD163F">
        <w:rPr>
          <w:rFonts w:ascii="Times New Roman" w:hAnsi="Times New Roman"/>
          <w:b/>
          <w:bCs/>
          <w:i/>
          <w:iCs/>
        </w:rPr>
        <w:lastRenderedPageBreak/>
        <w:t>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w:t>
      </w:r>
      <w:r w:rsidRPr="00DD163F">
        <w:rPr>
          <w:rFonts w:ascii="Times New Roman" w:hAnsi="Times New Roman"/>
          <w:b/>
          <w:bCs/>
          <w:i/>
          <w:iCs/>
        </w:rPr>
        <w:lastRenderedPageBreak/>
        <w:t>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25C8F244"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w:t>
      </w:r>
      <w:r w:rsidRPr="000A3EFF">
        <w:rPr>
          <w:rFonts w:ascii="Times New Roman" w:hAnsi="Times New Roman"/>
          <w:b/>
          <w:bCs/>
          <w:i/>
          <w:iCs/>
        </w:rPr>
        <w:lastRenderedPageBreak/>
        <w:t xml:space="preserve">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 xml:space="preserve">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w:t>
      </w:r>
      <w:r w:rsidRPr="001E30C7">
        <w:rPr>
          <w:b/>
          <w:bCs/>
          <w:i/>
          <w:iCs/>
          <w:color w:val="auto"/>
          <w:sz w:val="22"/>
          <w:szCs w:val="22"/>
        </w:rPr>
        <w:lastRenderedPageBreak/>
        <w:t>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202058A1" w14:textId="55EFE7C3" w:rsidR="001E30C7" w:rsidRPr="003E4353"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35AB4194" w14:textId="7850FC67" w:rsidR="001E30C7" w:rsidRPr="003E4353"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08E89D09" w14:textId="1C3D778D" w:rsidR="001E30C7" w:rsidRPr="003E4353" w:rsidRDefault="001E30C7" w:rsidP="00E6277C">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681D5112" w14:textId="220CA5E8" w:rsidR="001E30C7" w:rsidRPr="001E30C7" w:rsidRDefault="001E30C7" w:rsidP="003E4353">
      <w:pPr>
        <w:pStyle w:val="Default"/>
        <w:spacing w:before="120"/>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6DA73B45" w14:textId="1449ACA9" w:rsidR="001E30C7" w:rsidRPr="003E4353"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139FAF5B" w14:textId="2DCBDCCA" w:rsidR="001E30C7" w:rsidRPr="003E4353" w:rsidRDefault="001E30C7" w:rsidP="003E4353">
      <w:pPr>
        <w:pStyle w:val="Default"/>
        <w:spacing w:before="120"/>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64E80E67" w14:textId="286BB6B0" w:rsidR="00E6277C" w:rsidRDefault="001E30C7" w:rsidP="003E4353">
      <w:pPr>
        <w:pStyle w:val="Default"/>
        <w:spacing w:before="120"/>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2909" w14:textId="77777777" w:rsidR="00443EA5" w:rsidRDefault="00443EA5" w:rsidP="00B97F78">
      <w:pPr>
        <w:spacing w:after="0" w:line="240" w:lineRule="auto"/>
      </w:pPr>
      <w:r>
        <w:separator/>
      </w:r>
    </w:p>
  </w:endnote>
  <w:endnote w:type="continuationSeparator" w:id="0">
    <w:p w14:paraId="5838A2F5" w14:textId="77777777" w:rsidR="00443EA5" w:rsidRDefault="00443EA5" w:rsidP="00B97F78">
      <w:pPr>
        <w:spacing w:after="0" w:line="240" w:lineRule="auto"/>
      </w:pPr>
      <w:r>
        <w:continuationSeparator/>
      </w:r>
    </w:p>
  </w:endnote>
  <w:endnote w:type="continuationNotice" w:id="1">
    <w:p w14:paraId="490758FF" w14:textId="77777777" w:rsidR="00443EA5" w:rsidRDefault="00443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8FDCD72" w:rsidR="00811EFF" w:rsidRPr="00C12901" w:rsidRDefault="00811EFF"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A5F3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1DCBC" w14:textId="77777777" w:rsidR="00443EA5" w:rsidRDefault="00443EA5" w:rsidP="00B97F78">
      <w:pPr>
        <w:spacing w:after="0" w:line="240" w:lineRule="auto"/>
      </w:pPr>
      <w:r>
        <w:separator/>
      </w:r>
    </w:p>
  </w:footnote>
  <w:footnote w:type="continuationSeparator" w:id="0">
    <w:p w14:paraId="68D3D813" w14:textId="77777777" w:rsidR="00443EA5" w:rsidRDefault="00443EA5" w:rsidP="00B97F78">
      <w:pPr>
        <w:spacing w:after="0" w:line="240" w:lineRule="auto"/>
      </w:pPr>
      <w:r>
        <w:continuationSeparator/>
      </w:r>
    </w:p>
  </w:footnote>
  <w:footnote w:type="continuationNotice" w:id="1">
    <w:p w14:paraId="2265DD91" w14:textId="77777777" w:rsidR="00443EA5" w:rsidRDefault="00443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811EFF" w:rsidRPr="0096612E" w:rsidRDefault="00811EFF"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5A4C"/>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1E3ED1"/>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097F"/>
    <w:rsid w:val="002422F3"/>
    <w:rsid w:val="0024242B"/>
    <w:rsid w:val="00243168"/>
    <w:rsid w:val="002462CA"/>
    <w:rsid w:val="00246B47"/>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A76A0"/>
    <w:rsid w:val="003B074D"/>
    <w:rsid w:val="003B0940"/>
    <w:rsid w:val="003B1683"/>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3A02"/>
    <w:rsid w:val="003E4353"/>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43EA5"/>
    <w:rsid w:val="0044562B"/>
    <w:rsid w:val="00453727"/>
    <w:rsid w:val="0045711B"/>
    <w:rsid w:val="00457410"/>
    <w:rsid w:val="004627D9"/>
    <w:rsid w:val="00465EFE"/>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05B"/>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798"/>
    <w:rsid w:val="00646B82"/>
    <w:rsid w:val="0065105B"/>
    <w:rsid w:val="00663722"/>
    <w:rsid w:val="0066425D"/>
    <w:rsid w:val="00664C9B"/>
    <w:rsid w:val="006720A7"/>
    <w:rsid w:val="00673402"/>
    <w:rsid w:val="00673E2F"/>
    <w:rsid w:val="006761C4"/>
    <w:rsid w:val="00676653"/>
    <w:rsid w:val="00676C6D"/>
    <w:rsid w:val="00685B5E"/>
    <w:rsid w:val="00691961"/>
    <w:rsid w:val="00691B5A"/>
    <w:rsid w:val="0069479D"/>
    <w:rsid w:val="006A5F32"/>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14F"/>
    <w:rsid w:val="0070045E"/>
    <w:rsid w:val="00701F0E"/>
    <w:rsid w:val="007027CC"/>
    <w:rsid w:val="00705328"/>
    <w:rsid w:val="007104BA"/>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833"/>
    <w:rsid w:val="007F3C82"/>
    <w:rsid w:val="007F468C"/>
    <w:rsid w:val="007F7FE3"/>
    <w:rsid w:val="00810915"/>
    <w:rsid w:val="00810AC8"/>
    <w:rsid w:val="00811AA4"/>
    <w:rsid w:val="00811EFF"/>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1627"/>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0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736B"/>
    <w:rsid w:val="00F41E75"/>
    <w:rsid w:val="00F428EA"/>
    <w:rsid w:val="00F44FE6"/>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468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65BA5A1-A281-4392-AA59-003CA4D4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7715-164A-4D18-8BF9-6A8842E0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11395</Words>
  <Characters>64953</Characters>
  <Application>Microsoft Office Word</Application>
  <DocSecurity>0</DocSecurity>
  <Lines>541</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2021-02-05T12:10:00Z</dcterms:created>
  <dcterms:modified xsi:type="dcterms:W3CDTF">2021-02-05T12:10:00Z</dcterms:modified>
</cp:coreProperties>
</file>